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1E17B0" w:rsidRDefault="006F7E22" w:rsidP="004A53A7">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2914D6" w:rsidRDefault="002914D6">
            <w:pPr>
              <w:rPr>
                <w:rFonts w:ascii="Arial" w:hAnsi="Arial"/>
                <w:b/>
                <w:bCs/>
                <w:noProof w:val="0"/>
                <w:sz w:val="26"/>
                <w:szCs w:val="26"/>
              </w:rPr>
            </w:pPr>
          </w:p>
          <w:p w:rsidR="002914D6" w:rsidRDefault="00C16A99" w:rsidP="00336DDA">
            <w:pPr>
              <w:rPr>
                <w:b/>
                <w:bCs/>
                <w:noProof w:val="0"/>
                <w:sz w:val="26"/>
                <w:szCs w:val="26"/>
              </w:rPr>
            </w:pPr>
            <w:sdt>
              <w:sdtPr>
                <w:rPr>
                  <w:rtl/>
                </w:rPr>
                <w:alias w:val="1478"/>
                <w:tag w:val="1478"/>
                <w:id w:val="-2019765730"/>
                <w:text w:multiLine="1"/>
              </w:sdtPr>
              <w:sdtEndPr/>
              <w:sdtContent>
                <w:r w:rsidR="00CC29C2">
                  <w:rPr>
                    <w:rFonts w:ascii="Arial" w:hAnsi="Arial"/>
                    <w:b/>
                    <w:bCs/>
                    <w:noProof w:val="0"/>
                    <w:sz w:val="26"/>
                    <w:szCs w:val="26"/>
                    <w:rtl/>
                  </w:rPr>
                  <w:t>ד</w:t>
                </w:r>
                <w:r w:rsidR="00336DDA">
                  <w:rPr>
                    <w:rFonts w:ascii="Arial" w:hAnsi="Arial" w:hint="cs"/>
                    <w:b/>
                    <w:bCs/>
                    <w:noProof w:val="0"/>
                    <w:sz w:val="26"/>
                    <w:szCs w:val="26"/>
                    <w:rtl/>
                  </w:rPr>
                  <w:t xml:space="preserve">. </w:t>
                </w:r>
                <w:r w:rsidR="00CC29C2">
                  <w:rPr>
                    <w:rFonts w:ascii="Arial" w:hAnsi="Arial"/>
                    <w:b/>
                    <w:bCs/>
                    <w:noProof w:val="0"/>
                    <w:sz w:val="26"/>
                    <w:szCs w:val="26"/>
                    <w:rtl/>
                  </w:rPr>
                  <w:t>ע</w:t>
                </w:r>
                <w:r w:rsidR="00336DDA">
                  <w:rPr>
                    <w:rFonts w:ascii="Arial" w:hAnsi="Arial" w:hint="cs"/>
                    <w:b/>
                    <w:bCs/>
                    <w:noProof w:val="0"/>
                    <w:sz w:val="26"/>
                    <w:szCs w:val="26"/>
                    <w:rtl/>
                  </w:rPr>
                  <w:t>.</w:t>
                </w:r>
              </w:sdtContent>
            </w:sdt>
            <w:sdt>
              <w:sdtPr>
                <w:rPr>
                  <w:rtl/>
                </w:rPr>
                <w:alias w:val="2316"/>
                <w:tag w:val="2316"/>
                <w:id w:val="-119842878"/>
                <w:text w:multiLine="1"/>
              </w:sdtPr>
              <w:sdtEndPr/>
              <w:sdtContent/>
            </w:sdt>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C16A99" w:rsidP="004A53A7">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w:t>
                </w:r>
                <w:r w:rsidR="004A53A7">
                  <w:rPr>
                    <w:rFonts w:ascii="Arial" w:hAnsi="Arial" w:hint="cs"/>
                    <w:b/>
                    <w:bCs/>
                    <w:noProof w:val="0"/>
                    <w:sz w:val="26"/>
                    <w:szCs w:val="26"/>
                    <w:rtl/>
                  </w:rPr>
                  <w:t>ת</w:t>
                </w:r>
              </w:sdtContent>
            </w:sdt>
          </w:p>
        </w:tc>
        <w:tc>
          <w:tcPr>
            <w:tcW w:w="5571" w:type="dxa"/>
          </w:tcPr>
          <w:p w:rsidR="002914D6" w:rsidRDefault="002914D6">
            <w:pPr>
              <w:rPr>
                <w:rFonts w:ascii="Arial" w:hAnsi="Arial"/>
                <w:b/>
                <w:bCs/>
                <w:noProof w:val="0"/>
                <w:sz w:val="26"/>
                <w:szCs w:val="26"/>
                <w:rtl/>
              </w:rPr>
            </w:pPr>
          </w:p>
          <w:p w:rsidR="002914D6" w:rsidRDefault="00C16A99" w:rsidP="00336DDA">
            <w:pPr>
              <w:rPr>
                <w:b/>
                <w:bCs/>
                <w:noProof w:val="0"/>
                <w:sz w:val="26"/>
                <w:szCs w:val="26"/>
                <w:rtl/>
              </w:rPr>
            </w:pPr>
            <w:sdt>
              <w:sdtPr>
                <w:rPr>
                  <w:rtl/>
                </w:rPr>
                <w:alias w:val="1486"/>
                <w:tag w:val="1486"/>
                <w:id w:val="-1219885928"/>
                <w:text w:multiLine="1"/>
              </w:sdtPr>
              <w:sdtEndPr/>
              <w:sdtContent>
                <w:r w:rsidR="00CC29C2">
                  <w:rPr>
                    <w:rFonts w:ascii="Arial" w:hAnsi="Arial"/>
                    <w:b/>
                    <w:bCs/>
                    <w:noProof w:val="0"/>
                    <w:sz w:val="26"/>
                    <w:szCs w:val="26"/>
                    <w:rtl/>
                  </w:rPr>
                  <w:t>א</w:t>
                </w:r>
                <w:r w:rsidR="00336DDA">
                  <w:rPr>
                    <w:rFonts w:ascii="Arial" w:hAnsi="Arial" w:hint="cs"/>
                    <w:b/>
                    <w:bCs/>
                    <w:noProof w:val="0"/>
                    <w:sz w:val="26"/>
                    <w:szCs w:val="26"/>
                    <w:rtl/>
                  </w:rPr>
                  <w:t xml:space="preserve">. </w:t>
                </w:r>
                <w:r w:rsidR="00CC29C2">
                  <w:rPr>
                    <w:rFonts w:ascii="Arial" w:hAnsi="Arial"/>
                    <w:b/>
                    <w:bCs/>
                    <w:noProof w:val="0"/>
                    <w:sz w:val="26"/>
                    <w:szCs w:val="26"/>
                    <w:rtl/>
                  </w:rPr>
                  <w:t>ע</w:t>
                </w:r>
                <w:r w:rsidR="00336DDA">
                  <w:rPr>
                    <w:rFonts w:ascii="Arial" w:hAnsi="Arial" w:hint="cs"/>
                    <w:b/>
                    <w:bCs/>
                    <w:noProof w:val="0"/>
                    <w:sz w:val="26"/>
                    <w:szCs w:val="26"/>
                    <w:rtl/>
                  </w:rPr>
                  <w:t>.</w:t>
                </w:r>
              </w:sdtContent>
            </w:sdt>
          </w:p>
        </w:tc>
      </w:tr>
      <w:tr w:rsidR="00DA714E" w:rsidTr="00020144">
        <w:tc>
          <w:tcPr>
            <w:tcW w:w="8820" w:type="dxa"/>
            <w:gridSpan w:val="3"/>
          </w:tcPr>
          <w:p w:rsidR="001E17B0" w:rsidRDefault="001E17B0">
            <w:pPr>
              <w:rPr>
                <w:b/>
                <w:bCs/>
                <w:sz w:val="26"/>
                <w:szCs w:val="26"/>
              </w:rPr>
            </w:pPr>
          </w:p>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4A53A7">
        <w:trPr>
          <w:jc w:val="center"/>
        </w:trPr>
        <w:tc>
          <w:tcPr>
            <w:tcW w:w="8820" w:type="dxa"/>
          </w:tcPr>
          <w:p w:rsidR="002914D6" w:rsidRPr="004A53A7" w:rsidRDefault="002914D6">
            <w:pPr>
              <w:bidi w:val="0"/>
              <w:jc w:val="center"/>
              <w:rPr>
                <w:rFonts w:ascii="Arial" w:hAnsi="Arial"/>
                <w:b/>
                <w:bCs/>
                <w:i/>
                <w:iCs/>
                <w:noProof w:val="0"/>
                <w:sz w:val="36"/>
                <w:szCs w:val="36"/>
              </w:rPr>
            </w:pPr>
          </w:p>
          <w:p w:rsidR="002914D6" w:rsidRPr="004A53A7" w:rsidRDefault="00530E94">
            <w:pPr>
              <w:bidi w:val="0"/>
              <w:jc w:val="center"/>
              <w:rPr>
                <w:rFonts w:ascii="Arial" w:hAnsi="Arial"/>
                <w:b/>
                <w:bCs/>
                <w:i/>
                <w:iCs/>
                <w:noProof w:val="0"/>
                <w:sz w:val="36"/>
                <w:szCs w:val="36"/>
                <w:u w:val="single"/>
              </w:rPr>
            </w:pPr>
            <w:r w:rsidRPr="004A53A7">
              <w:rPr>
                <w:rFonts w:ascii="Arial" w:hAnsi="Arial" w:hint="cs"/>
                <w:b/>
                <w:bCs/>
                <w:i/>
                <w:iCs/>
                <w:noProof w:val="0"/>
                <w:sz w:val="36"/>
                <w:szCs w:val="36"/>
                <w:u w:val="single"/>
                <w:rtl/>
              </w:rPr>
              <w:t>החלטה</w:t>
            </w:r>
          </w:p>
        </w:tc>
      </w:tr>
    </w:tbl>
    <w:p w:rsidR="004A53A7" w:rsidRDefault="004A53A7" w:rsidP="004A53A7">
      <w:pPr>
        <w:spacing w:line="360" w:lineRule="auto"/>
        <w:jc w:val="both"/>
        <w:rPr>
          <w:rtl/>
        </w:rPr>
      </w:pPr>
    </w:p>
    <w:p w:rsidR="004A53A7" w:rsidRDefault="004A53A7" w:rsidP="00336DDA">
      <w:pPr>
        <w:spacing w:line="360" w:lineRule="auto"/>
        <w:jc w:val="both"/>
        <w:rPr>
          <w:noProof w:val="0"/>
        </w:rPr>
      </w:pPr>
      <w:r>
        <w:rPr>
          <w:rFonts w:hint="cs"/>
          <w:rtl/>
        </w:rPr>
        <w:t>לפניי תביעה במסגרתה עתר התובע לבטל את הסכמי שכירות שנערכו בין גרושתו (להלן: "</w:t>
      </w:r>
      <w:r>
        <w:rPr>
          <w:rFonts w:hint="cs"/>
          <w:b/>
          <w:bCs/>
          <w:rtl/>
        </w:rPr>
        <w:t>הנתבעת</w:t>
      </w:r>
      <w:r>
        <w:rPr>
          <w:rFonts w:hint="cs"/>
          <w:rtl/>
        </w:rPr>
        <w:t xml:space="preserve">") לבין חברת </w:t>
      </w:r>
      <w:r w:rsidR="00336DDA">
        <w:rPr>
          <w:rFonts w:hint="cs"/>
        </w:rPr>
        <w:t>XXX</w:t>
      </w:r>
      <w:r>
        <w:rPr>
          <w:rFonts w:hint="cs"/>
          <w:rtl/>
        </w:rPr>
        <w:t xml:space="preserve"> (להלן: "</w:t>
      </w:r>
      <w:r>
        <w:rPr>
          <w:rFonts w:hint="cs"/>
          <w:b/>
          <w:bCs/>
          <w:rtl/>
        </w:rPr>
        <w:t>צד ג'</w:t>
      </w:r>
      <w:r>
        <w:rPr>
          <w:rFonts w:hint="cs"/>
          <w:rtl/>
        </w:rPr>
        <w:t>") ולסילוק ידה של צד ג' מהנכס, לגביו נערכו הסכמי השכירות (להלן: "</w:t>
      </w:r>
      <w:r>
        <w:rPr>
          <w:rFonts w:hint="cs"/>
          <w:b/>
          <w:bCs/>
          <w:rtl/>
        </w:rPr>
        <w:t>הנכס</w:t>
      </w:r>
      <w:r>
        <w:rPr>
          <w:rFonts w:hint="cs"/>
          <w:rtl/>
        </w:rPr>
        <w:t>").</w:t>
      </w:r>
    </w:p>
    <w:p w:rsidR="004A53A7" w:rsidRDefault="004A53A7" w:rsidP="004A53A7">
      <w:pPr>
        <w:spacing w:line="360" w:lineRule="auto"/>
        <w:jc w:val="both"/>
        <w:rPr>
          <w:rtl/>
        </w:rPr>
      </w:pPr>
    </w:p>
    <w:p w:rsidR="004A53A7" w:rsidRDefault="004A53A7" w:rsidP="00336DDA">
      <w:pPr>
        <w:spacing w:line="360" w:lineRule="auto"/>
        <w:jc w:val="both"/>
        <w:rPr>
          <w:rtl/>
        </w:rPr>
      </w:pPr>
      <w:r>
        <w:rPr>
          <w:rFonts w:hint="cs"/>
          <w:rtl/>
        </w:rPr>
        <w:t xml:space="preserve">בהחלטה מיום 19.11.24 לתובע ניתנה אפשרות להבהיר מדוע אין מקום להורות על מחיקת התביעה בשים לב למהות הסכסוך, הצדדים להסכם השכירות ומקום הימצאות הנכס – </w:t>
      </w:r>
      <w:r w:rsidR="00336DDA">
        <w:rPr>
          <w:rFonts w:hint="cs"/>
          <w:rtl/>
        </w:rPr>
        <w:t>בעיר נ'</w:t>
      </w:r>
      <w:r>
        <w:rPr>
          <w:rFonts w:hint="cs"/>
          <w:rtl/>
        </w:rPr>
        <w:t>.</w:t>
      </w:r>
    </w:p>
    <w:p w:rsidR="004A53A7" w:rsidRDefault="004A53A7" w:rsidP="004A53A7">
      <w:pPr>
        <w:spacing w:line="360" w:lineRule="auto"/>
        <w:jc w:val="both"/>
        <w:rPr>
          <w:rtl/>
        </w:rPr>
      </w:pPr>
    </w:p>
    <w:p w:rsidR="004A53A7" w:rsidRDefault="004A53A7" w:rsidP="004A53A7">
      <w:pPr>
        <w:spacing w:line="360" w:lineRule="auto"/>
        <w:jc w:val="both"/>
        <w:rPr>
          <w:rtl/>
        </w:rPr>
      </w:pPr>
      <w:r>
        <w:rPr>
          <w:rFonts w:hint="cs"/>
          <w:rtl/>
        </w:rPr>
        <w:t>התובע הגיש הודעת הבהרה בה טען כי הגיש בשעתו תביעה לבית משפט השלום בקריות רק כנגד צד ג', תוך שהוצע לו להגיש את התביעה כנגד שני הנתבעים.</w:t>
      </w:r>
    </w:p>
    <w:p w:rsidR="004A53A7" w:rsidRDefault="004A53A7" w:rsidP="004A53A7">
      <w:pPr>
        <w:spacing w:line="360" w:lineRule="auto"/>
        <w:jc w:val="both"/>
        <w:rPr>
          <w:rtl/>
        </w:rPr>
      </w:pPr>
    </w:p>
    <w:p w:rsidR="004A53A7" w:rsidRDefault="004A53A7" w:rsidP="004A53A7">
      <w:pPr>
        <w:spacing w:line="360" w:lineRule="auto"/>
        <w:jc w:val="both"/>
        <w:rPr>
          <w:rtl/>
        </w:rPr>
      </w:pPr>
      <w:r>
        <w:rPr>
          <w:rFonts w:hint="cs"/>
          <w:rtl/>
        </w:rPr>
        <w:lastRenderedPageBreak/>
        <w:t>התובע הגיש תביעה חדשה לבית המשפט לענייני משפחה בקריות וניתנה סדרת החלטות</w:t>
      </w:r>
      <w:r w:rsidR="00336DDA">
        <w:rPr>
          <w:rFonts w:hint="cs"/>
          <w:rtl/>
        </w:rPr>
        <w:t>,</w:t>
      </w:r>
      <w:r>
        <w:rPr>
          <w:rFonts w:hint="cs"/>
          <w:rtl/>
        </w:rPr>
        <w:t xml:space="preserve"> לפיהן הסמכות לדון בתביעת התובע מסורה לבית המשפט לענייני משפחה בירושלים.</w:t>
      </w:r>
    </w:p>
    <w:p w:rsidR="004A53A7" w:rsidRDefault="004A53A7" w:rsidP="004A53A7">
      <w:pPr>
        <w:spacing w:line="360" w:lineRule="auto"/>
        <w:jc w:val="both"/>
        <w:rPr>
          <w:rtl/>
        </w:rPr>
      </w:pPr>
    </w:p>
    <w:p w:rsidR="004A53A7" w:rsidRDefault="004A53A7" w:rsidP="004A53A7">
      <w:pPr>
        <w:spacing w:line="360" w:lineRule="auto"/>
        <w:jc w:val="both"/>
        <w:rPr>
          <w:rtl/>
        </w:rPr>
      </w:pPr>
      <w:r>
        <w:rPr>
          <w:rFonts w:hint="cs"/>
          <w:rtl/>
        </w:rPr>
        <w:t>לאחר עיון בכתב התביעה ובהודעת ההבהרה, איני סבור כי הסמכות העניינית לדון בתביעה זו מסורה לבית המשפט לענייני משפחה.</w:t>
      </w:r>
    </w:p>
    <w:p w:rsidR="004A53A7" w:rsidRDefault="004A53A7" w:rsidP="004A53A7">
      <w:pPr>
        <w:spacing w:line="360" w:lineRule="auto"/>
        <w:jc w:val="both"/>
        <w:rPr>
          <w:rtl/>
        </w:rPr>
      </w:pPr>
    </w:p>
    <w:p w:rsidR="004A53A7" w:rsidRPr="004A53A7" w:rsidRDefault="00C16A99" w:rsidP="004A53A7">
      <w:pPr>
        <w:spacing w:line="360" w:lineRule="auto"/>
        <w:jc w:val="both"/>
        <w:rPr>
          <w:rtl/>
        </w:rPr>
      </w:pPr>
      <w:hyperlink r:id="rId9" w:history="1">
        <w:r w:rsidR="004A53A7" w:rsidRPr="004A53A7">
          <w:rPr>
            <w:rStyle w:val="Hyperlink"/>
            <w:rFonts w:hint="cs"/>
            <w:color w:val="auto"/>
            <w:u w:val="none"/>
            <w:rtl/>
          </w:rPr>
          <w:t>סעיף 1</w:t>
        </w:r>
      </w:hyperlink>
      <w:r w:rsidR="004A53A7" w:rsidRPr="004A53A7">
        <w:rPr>
          <w:rFonts w:hint="cs"/>
          <w:rtl/>
        </w:rPr>
        <w:t xml:space="preserve"> לחוק בתי המשפט לענייני משפחה, תשנ"ה – 1995 (להלן: "</w:t>
      </w:r>
      <w:r w:rsidR="004A53A7" w:rsidRPr="004A53A7">
        <w:rPr>
          <w:rFonts w:hint="cs"/>
          <w:b/>
          <w:bCs/>
          <w:rtl/>
        </w:rPr>
        <w:t>החוק</w:t>
      </w:r>
      <w:r w:rsidR="004A53A7" w:rsidRPr="004A53A7">
        <w:rPr>
          <w:rFonts w:hint="cs"/>
          <w:rtl/>
        </w:rPr>
        <w:t xml:space="preserve">") קובע שני מבחנים מצטברים לצורך בחינת סמכותו של בית משפט לענייני משפחה, לדון בתובענות שהן פרי "סכסוכים אזרחיים". </w:t>
      </w:r>
      <w:r w:rsidR="004A53A7" w:rsidRPr="004A53A7">
        <w:rPr>
          <w:rFonts w:hint="cs"/>
          <w:u w:val="single"/>
          <w:rtl/>
        </w:rPr>
        <w:t>המבחן הראשון</w:t>
      </w:r>
      <w:r w:rsidR="004A53A7" w:rsidRPr="004A53A7">
        <w:rPr>
          <w:rFonts w:hint="cs"/>
          <w:rtl/>
        </w:rPr>
        <w:t xml:space="preserve"> הינו "מבחן הקרבה המשפחתית"</w:t>
      </w:r>
      <w:r w:rsidR="004A53A7">
        <w:rPr>
          <w:rFonts w:hint="cs"/>
          <w:rtl/>
        </w:rPr>
        <w:t xml:space="preserve"> </w:t>
      </w:r>
      <w:r w:rsidR="004A53A7" w:rsidRPr="004A53A7">
        <w:rPr>
          <w:rFonts w:hint="cs"/>
          <w:rtl/>
        </w:rPr>
        <w:t xml:space="preserve">והמבחן השני הינו "מבחן עילת הסכסוך", דהיינו שהסכסוך המשפחתי תרם תרומה משמעותית לגיבושה של עילת התביעה </w:t>
      </w:r>
      <w:r w:rsidR="004A53A7" w:rsidRPr="004A53A7">
        <w:rPr>
          <w:rFonts w:hint="cs"/>
          <w:b/>
          <w:bCs/>
          <w:rtl/>
        </w:rPr>
        <w:t>ראו</w:t>
      </w:r>
      <w:r w:rsidR="004A53A7" w:rsidRPr="004A53A7">
        <w:rPr>
          <w:rFonts w:hint="cs"/>
          <w:rtl/>
        </w:rPr>
        <w:t xml:space="preserve">: </w:t>
      </w:r>
      <w:hyperlink r:id="rId10" w:history="1">
        <w:r w:rsidR="004A53A7" w:rsidRPr="004A53A7">
          <w:rPr>
            <w:rStyle w:val="Hyperlink"/>
            <w:rFonts w:hint="cs"/>
            <w:color w:val="auto"/>
            <w:u w:val="none"/>
            <w:rtl/>
          </w:rPr>
          <w:t>רע"א 6558/99</w:t>
        </w:r>
      </w:hyperlink>
      <w:r w:rsidR="004A53A7" w:rsidRPr="004A53A7">
        <w:rPr>
          <w:rtl/>
        </w:rPr>
        <w:t xml:space="preserve"> </w:t>
      </w:r>
      <w:r w:rsidR="004A53A7" w:rsidRPr="004A53A7">
        <w:rPr>
          <w:rFonts w:hint="cs"/>
          <w:b/>
          <w:bCs/>
          <w:rtl/>
        </w:rPr>
        <w:t>חבס נ' חבס</w:t>
      </w:r>
      <w:r w:rsidR="004A53A7" w:rsidRPr="004A53A7">
        <w:rPr>
          <w:rFonts w:hint="cs"/>
          <w:rtl/>
        </w:rPr>
        <w:t xml:space="preserve">, פ"ד נד(4) 337; רע"א 12155-03-24 </w:t>
      </w:r>
      <w:r w:rsidR="004A53A7" w:rsidRPr="004A53A7">
        <w:rPr>
          <w:rFonts w:hint="cs"/>
          <w:b/>
          <w:bCs/>
          <w:rtl/>
        </w:rPr>
        <w:t>א.ס  נ' ח.ס ואח'</w:t>
      </w:r>
      <w:r w:rsidR="004A53A7" w:rsidRPr="004A53A7">
        <w:rPr>
          <w:rFonts w:hint="cs"/>
          <w:rtl/>
        </w:rPr>
        <w:t xml:space="preserve"> (26.9.24).</w:t>
      </w:r>
    </w:p>
    <w:p w:rsidR="004A53A7" w:rsidRPr="004A53A7" w:rsidRDefault="004A53A7" w:rsidP="004A53A7">
      <w:pPr>
        <w:pStyle w:val="Ruller40"/>
        <w:rPr>
          <w:rFonts w:ascii="David" w:eastAsia="David" w:hAnsi="David" w:cs="David"/>
          <w:spacing w:val="0"/>
          <w:sz w:val="24"/>
          <w:szCs w:val="24"/>
          <w:rtl/>
        </w:rPr>
      </w:pPr>
      <w:r w:rsidRPr="004A53A7">
        <w:rPr>
          <w:rFonts w:ascii="David" w:eastAsia="David" w:hAnsi="David" w:cs="David"/>
          <w:spacing w:val="0"/>
          <w:sz w:val="24"/>
          <w:szCs w:val="24"/>
          <w:rtl/>
        </w:rPr>
        <w:t xml:space="preserve">המבחן השני פורש בפסיקה כנוגע למקור עילת התביעה או לסיבתה, ויש לבחון בגדרו אם הסכסוך המשפחתי תרם תרומה משמעותית לגיבוש עילת התביעה. עוד נקבע, כי לא די בקשר רחוק וזניח, אך גם אין צורך שהסכסוך המשפחתי יהא הסיבה הבלעדית להיווצרותה של עילת התביעה </w:t>
      </w:r>
      <w:r w:rsidRPr="004A53A7">
        <w:rPr>
          <w:rFonts w:ascii="David" w:eastAsia="David" w:hAnsi="David" w:cs="David"/>
          <w:b/>
          <w:bCs/>
          <w:spacing w:val="0"/>
          <w:sz w:val="24"/>
          <w:szCs w:val="24"/>
          <w:rtl/>
        </w:rPr>
        <w:t>ראו</w:t>
      </w:r>
      <w:r w:rsidRPr="004A53A7">
        <w:rPr>
          <w:rFonts w:ascii="David" w:eastAsia="David" w:hAnsi="David" w:cs="David"/>
          <w:spacing w:val="0"/>
          <w:sz w:val="24"/>
          <w:szCs w:val="24"/>
          <w:rtl/>
        </w:rPr>
        <w:t xml:space="preserve">: עניין </w:t>
      </w:r>
      <w:r w:rsidRPr="004A53A7">
        <w:rPr>
          <w:rFonts w:ascii="David" w:eastAsia="David" w:hAnsi="David" w:cs="David"/>
          <w:b/>
          <w:bCs/>
          <w:spacing w:val="0"/>
          <w:sz w:val="24"/>
          <w:szCs w:val="24"/>
          <w:rtl/>
        </w:rPr>
        <w:t>חבס לעיל</w:t>
      </w:r>
      <w:r w:rsidRPr="004A53A7">
        <w:rPr>
          <w:rFonts w:ascii="David" w:eastAsia="David" w:hAnsi="David" w:cs="David"/>
          <w:spacing w:val="0"/>
          <w:sz w:val="24"/>
          <w:szCs w:val="24"/>
          <w:rtl/>
        </w:rPr>
        <w:t xml:space="preserve">; </w:t>
      </w:r>
      <w:hyperlink r:id="rId11" w:history="1">
        <w:r w:rsidRPr="004A53A7">
          <w:rPr>
            <w:rStyle w:val="Hyperlink"/>
            <w:rFonts w:ascii="David" w:eastAsia="David" w:hAnsi="David" w:cs="David"/>
            <w:color w:val="auto"/>
            <w:spacing w:val="0"/>
            <w:sz w:val="24"/>
            <w:szCs w:val="24"/>
            <w:u w:val="none"/>
            <w:rtl/>
          </w:rPr>
          <w:t>רע"א 6147/21</w:t>
        </w:r>
      </w:hyperlink>
      <w:r w:rsidRPr="004A53A7">
        <w:rPr>
          <w:rFonts w:ascii="David" w:eastAsia="David" w:hAnsi="David" w:cs="David"/>
          <w:spacing w:val="0"/>
          <w:sz w:val="24"/>
          <w:szCs w:val="24"/>
          <w:rtl/>
        </w:rPr>
        <w:t xml:space="preserve"> </w:t>
      </w:r>
      <w:r w:rsidRPr="004A53A7">
        <w:rPr>
          <w:rFonts w:ascii="David" w:eastAsia="David" w:hAnsi="David" w:cs="David" w:hint="cs"/>
          <w:b/>
          <w:bCs/>
          <w:spacing w:val="0"/>
          <w:sz w:val="24"/>
          <w:szCs w:val="24"/>
          <w:rtl/>
        </w:rPr>
        <w:t>פלונית נ' פלוני</w:t>
      </w:r>
      <w:r w:rsidRPr="004A53A7">
        <w:rPr>
          <w:rFonts w:ascii="David" w:eastAsia="David" w:hAnsi="David" w:cs="David" w:hint="cs"/>
          <w:spacing w:val="0"/>
          <w:sz w:val="24"/>
          <w:szCs w:val="24"/>
          <w:rtl/>
        </w:rPr>
        <w:t xml:space="preserve"> (18.11.2021); </w:t>
      </w:r>
      <w:hyperlink r:id="rId12" w:history="1">
        <w:r w:rsidRPr="004A53A7">
          <w:rPr>
            <w:rStyle w:val="Hyperlink"/>
            <w:rFonts w:ascii="David" w:eastAsia="David" w:hAnsi="David" w:cs="David"/>
            <w:color w:val="auto"/>
            <w:spacing w:val="0"/>
            <w:sz w:val="24"/>
            <w:szCs w:val="24"/>
            <w:u w:val="none"/>
            <w:rtl/>
          </w:rPr>
          <w:t>רע"א 672/22</w:t>
        </w:r>
      </w:hyperlink>
      <w:r w:rsidRPr="004A53A7">
        <w:rPr>
          <w:rFonts w:ascii="David" w:eastAsia="David" w:hAnsi="David" w:cs="David"/>
          <w:spacing w:val="0"/>
          <w:sz w:val="24"/>
          <w:szCs w:val="24"/>
          <w:rtl/>
        </w:rPr>
        <w:t xml:space="preserve"> </w:t>
      </w:r>
      <w:r w:rsidRPr="004A53A7">
        <w:rPr>
          <w:rFonts w:ascii="David" w:eastAsia="David" w:hAnsi="David" w:cs="David" w:hint="cs"/>
          <w:b/>
          <w:bCs/>
          <w:spacing w:val="0"/>
          <w:sz w:val="24"/>
          <w:szCs w:val="24"/>
          <w:rtl/>
        </w:rPr>
        <w:t>פלוני נ' פלוני</w:t>
      </w:r>
      <w:r w:rsidRPr="004A53A7">
        <w:rPr>
          <w:rFonts w:ascii="David" w:eastAsia="David" w:hAnsi="David" w:cs="David" w:hint="cs"/>
          <w:spacing w:val="0"/>
          <w:sz w:val="24"/>
          <w:szCs w:val="24"/>
          <w:rtl/>
        </w:rPr>
        <w:t xml:space="preserve"> (27.6.2022).</w:t>
      </w:r>
    </w:p>
    <w:p w:rsidR="004A53A7" w:rsidRPr="004A53A7" w:rsidRDefault="004A53A7" w:rsidP="004A53A7">
      <w:pPr>
        <w:pStyle w:val="Ruller40"/>
        <w:rPr>
          <w:rFonts w:ascii="David" w:eastAsia="David" w:hAnsi="David" w:cs="David"/>
          <w:spacing w:val="0"/>
          <w:sz w:val="24"/>
          <w:szCs w:val="24"/>
          <w:rtl/>
        </w:rPr>
      </w:pPr>
    </w:p>
    <w:p w:rsidR="004A53A7" w:rsidRPr="004A53A7" w:rsidRDefault="004A53A7" w:rsidP="004A53A7">
      <w:pPr>
        <w:pStyle w:val="Ruller40"/>
        <w:rPr>
          <w:rFonts w:ascii="David" w:eastAsia="David" w:hAnsi="David" w:cs="David"/>
          <w:spacing w:val="0"/>
          <w:sz w:val="24"/>
          <w:szCs w:val="24"/>
          <w:rtl/>
        </w:rPr>
      </w:pPr>
      <w:r w:rsidRPr="004A53A7">
        <w:rPr>
          <w:rFonts w:ascii="David" w:eastAsia="David" w:hAnsi="David" w:cs="David"/>
          <w:spacing w:val="0"/>
          <w:sz w:val="24"/>
          <w:szCs w:val="24"/>
          <w:rtl/>
        </w:rPr>
        <w:t xml:space="preserve">ברגיל, המבחן לקביעת הסמכות העניינית הוא "מבחן הסעד", לפיו יש לבחון את הסעד המבוקש במסגרת כתב התביעה. מבחן זה הוא טכני בעיקרו והוא אומץ להלכה בעיקר מתוך שיקולי פשטות ויעילות </w:t>
      </w:r>
      <w:r w:rsidRPr="004A53A7">
        <w:rPr>
          <w:rFonts w:ascii="David" w:eastAsia="David" w:hAnsi="David" w:cs="David"/>
          <w:b/>
          <w:bCs/>
          <w:spacing w:val="0"/>
          <w:sz w:val="24"/>
          <w:szCs w:val="24"/>
          <w:rtl/>
        </w:rPr>
        <w:t>ראו</w:t>
      </w:r>
      <w:r w:rsidRPr="004A53A7">
        <w:rPr>
          <w:rFonts w:ascii="David" w:eastAsia="David" w:hAnsi="David" w:cs="David"/>
          <w:spacing w:val="0"/>
          <w:sz w:val="24"/>
          <w:szCs w:val="24"/>
          <w:rtl/>
        </w:rPr>
        <w:t xml:space="preserve">: </w:t>
      </w:r>
      <w:hyperlink r:id="rId13" w:history="1">
        <w:r w:rsidRPr="004A53A7">
          <w:rPr>
            <w:rStyle w:val="Hyperlink"/>
            <w:rFonts w:ascii="David" w:eastAsia="David" w:hAnsi="David" w:cs="David"/>
            <w:color w:val="auto"/>
            <w:spacing w:val="0"/>
            <w:sz w:val="24"/>
            <w:szCs w:val="24"/>
            <w:u w:val="none"/>
            <w:rtl/>
          </w:rPr>
          <w:t>ע"א 2846/03</w:t>
        </w:r>
      </w:hyperlink>
      <w:r w:rsidRPr="004A53A7">
        <w:rPr>
          <w:rFonts w:ascii="David" w:eastAsia="David" w:hAnsi="David" w:cs="David"/>
          <w:spacing w:val="0"/>
          <w:sz w:val="24"/>
          <w:szCs w:val="24"/>
          <w:rtl/>
        </w:rPr>
        <w:t xml:space="preserve"> </w:t>
      </w:r>
      <w:r w:rsidRPr="004A53A7">
        <w:rPr>
          <w:rFonts w:ascii="David" w:eastAsia="David" w:hAnsi="David" w:cs="David" w:hint="cs"/>
          <w:b/>
          <w:bCs/>
          <w:spacing w:val="0"/>
          <w:sz w:val="24"/>
          <w:szCs w:val="24"/>
          <w:rtl/>
        </w:rPr>
        <w:t>אלדרמן נ' אלריך</w:t>
      </w:r>
      <w:r w:rsidRPr="004A53A7">
        <w:rPr>
          <w:rFonts w:ascii="David" w:eastAsia="David" w:hAnsi="David" w:cs="David" w:hint="cs"/>
          <w:spacing w:val="0"/>
          <w:sz w:val="24"/>
          <w:szCs w:val="24"/>
          <w:rtl/>
        </w:rPr>
        <w:t xml:space="preserve">, פ"ד נט(3) 529, רמ"ש 74022-05-24 </w:t>
      </w:r>
      <w:r w:rsidRPr="004A53A7">
        <w:rPr>
          <w:rFonts w:ascii="David" w:eastAsia="David" w:hAnsi="David" w:cs="David" w:hint="cs"/>
          <w:b/>
          <w:bCs/>
          <w:spacing w:val="0"/>
          <w:sz w:val="24"/>
          <w:szCs w:val="24"/>
          <w:rtl/>
        </w:rPr>
        <w:t>א.ח. נ' א.ח. ואח'</w:t>
      </w:r>
      <w:r w:rsidRPr="004A53A7">
        <w:rPr>
          <w:rFonts w:ascii="David" w:eastAsia="David" w:hAnsi="David" w:cs="David" w:hint="cs"/>
          <w:spacing w:val="0"/>
          <w:sz w:val="24"/>
          <w:szCs w:val="24"/>
          <w:rtl/>
        </w:rPr>
        <w:t xml:space="preserve"> (27.7.24).</w:t>
      </w:r>
    </w:p>
    <w:p w:rsidR="004A53A7" w:rsidRDefault="004A53A7" w:rsidP="004A53A7">
      <w:pPr>
        <w:pStyle w:val="Ruller40"/>
        <w:rPr>
          <w:rFonts w:ascii="David" w:eastAsia="David" w:hAnsi="David" w:cs="David"/>
          <w:spacing w:val="0"/>
          <w:sz w:val="24"/>
          <w:szCs w:val="24"/>
          <w:rtl/>
        </w:rPr>
      </w:pPr>
    </w:p>
    <w:p w:rsidR="004A53A7" w:rsidRDefault="004A53A7" w:rsidP="004A53A7">
      <w:pPr>
        <w:pStyle w:val="Ruller40"/>
        <w:rPr>
          <w:rFonts w:ascii="David" w:eastAsia="David" w:hAnsi="David" w:cs="David"/>
          <w:spacing w:val="0"/>
          <w:sz w:val="24"/>
          <w:szCs w:val="24"/>
          <w:rtl/>
        </w:rPr>
      </w:pPr>
      <w:r>
        <w:rPr>
          <w:rFonts w:ascii="David" w:eastAsia="David" w:hAnsi="David" w:cs="David"/>
          <w:spacing w:val="0"/>
          <w:sz w:val="24"/>
          <w:szCs w:val="24"/>
          <w:rtl/>
        </w:rPr>
        <w:t xml:space="preserve">עם זאת, נקבע זה מכבר ש"חוק בית המשפט למשפחה נטש את "מבחן הסעד" ואימץ את מבחן "סוג הסכסוך". מכאן שאין דיי בבחינת הסעד המבוקש בכתב התביעה, אלא שיש גם להידרש אל הטענות המהותיות העולות מתוך הסכסוך ומההליך כולו </w:t>
      </w:r>
      <w:r>
        <w:rPr>
          <w:rFonts w:ascii="David" w:eastAsia="David" w:hAnsi="David" w:cs="David"/>
          <w:b/>
          <w:bCs/>
          <w:spacing w:val="0"/>
          <w:sz w:val="24"/>
          <w:szCs w:val="24"/>
          <w:rtl/>
        </w:rPr>
        <w:t>ראו</w:t>
      </w:r>
      <w:r>
        <w:rPr>
          <w:rFonts w:ascii="David" w:eastAsia="David" w:hAnsi="David" w:cs="David"/>
          <w:spacing w:val="0"/>
          <w:sz w:val="24"/>
          <w:szCs w:val="24"/>
          <w:rtl/>
        </w:rPr>
        <w:t xml:space="preserve">: תמ"ש 19271-05-23 </w:t>
      </w:r>
      <w:r>
        <w:rPr>
          <w:rFonts w:ascii="David" w:eastAsia="David" w:hAnsi="David" w:cs="David"/>
          <w:b/>
          <w:bCs/>
          <w:spacing w:val="0"/>
          <w:sz w:val="24"/>
          <w:szCs w:val="24"/>
          <w:rtl/>
        </w:rPr>
        <w:t>פלונית ואח' נ' אלמוני</w:t>
      </w:r>
      <w:r>
        <w:rPr>
          <w:rFonts w:ascii="David" w:eastAsia="David" w:hAnsi="David" w:cs="David"/>
          <w:spacing w:val="0"/>
          <w:sz w:val="24"/>
          <w:szCs w:val="24"/>
          <w:rtl/>
        </w:rPr>
        <w:t xml:space="preserve"> (28.1.2024).</w:t>
      </w:r>
    </w:p>
    <w:p w:rsidR="004A53A7" w:rsidRDefault="004A53A7" w:rsidP="004A53A7">
      <w:pPr>
        <w:pStyle w:val="Ruller40"/>
        <w:rPr>
          <w:rFonts w:ascii="David" w:eastAsia="David" w:hAnsi="David" w:cs="David"/>
          <w:spacing w:val="0"/>
          <w:sz w:val="24"/>
          <w:szCs w:val="24"/>
          <w:rtl/>
        </w:rPr>
      </w:pPr>
    </w:p>
    <w:p w:rsidR="004A53A7" w:rsidRPr="004A53A7" w:rsidRDefault="004A53A7" w:rsidP="004A53A7">
      <w:pPr>
        <w:pStyle w:val="Ruller40"/>
        <w:rPr>
          <w:rFonts w:ascii="David" w:eastAsia="David" w:hAnsi="David" w:cs="David"/>
          <w:spacing w:val="0"/>
          <w:sz w:val="24"/>
          <w:szCs w:val="24"/>
          <w:rtl/>
        </w:rPr>
      </w:pPr>
      <w:r>
        <w:rPr>
          <w:rFonts w:ascii="David" w:eastAsia="David" w:hAnsi="David" w:cs="David"/>
          <w:spacing w:val="0"/>
          <w:sz w:val="24"/>
          <w:szCs w:val="24"/>
          <w:rtl/>
        </w:rPr>
        <w:t xml:space="preserve">השאלה אם עילת התביעה נעוצה בסכסוך משפחתי, תוכרע, בראש ובראשונה, על-פי העובדות והטענות העולות מכתבי הטענות של הצדדים – ראש וראשון בהם הוא כתב התביעה </w:t>
      </w:r>
      <w:r w:rsidRPr="004A53A7">
        <w:rPr>
          <w:rFonts w:ascii="David" w:eastAsia="David" w:hAnsi="David" w:cs="David"/>
          <w:b/>
          <w:bCs/>
          <w:spacing w:val="0"/>
          <w:sz w:val="24"/>
          <w:szCs w:val="24"/>
          <w:rtl/>
        </w:rPr>
        <w:t>ראו</w:t>
      </w:r>
      <w:r w:rsidRPr="004A53A7">
        <w:rPr>
          <w:rFonts w:ascii="David" w:eastAsia="David" w:hAnsi="David" w:cs="David"/>
          <w:spacing w:val="0"/>
          <w:sz w:val="24"/>
          <w:szCs w:val="24"/>
          <w:rtl/>
        </w:rPr>
        <w:t xml:space="preserve">: </w:t>
      </w:r>
      <w:hyperlink r:id="rId14" w:history="1">
        <w:r w:rsidRPr="004A53A7">
          <w:rPr>
            <w:rStyle w:val="Hyperlink"/>
            <w:rFonts w:ascii="David" w:eastAsia="David" w:hAnsi="David" w:cs="David"/>
            <w:color w:val="auto"/>
            <w:spacing w:val="0"/>
            <w:sz w:val="24"/>
            <w:szCs w:val="24"/>
            <w:u w:val="none"/>
            <w:rtl/>
          </w:rPr>
          <w:t>רע"א 672/22</w:t>
        </w:r>
      </w:hyperlink>
      <w:r w:rsidRPr="004A53A7">
        <w:rPr>
          <w:rFonts w:ascii="David" w:eastAsia="David" w:hAnsi="David" w:cs="David"/>
          <w:spacing w:val="0"/>
          <w:sz w:val="24"/>
          <w:szCs w:val="24"/>
          <w:rtl/>
        </w:rPr>
        <w:t xml:space="preserve"> לעיל.</w:t>
      </w:r>
    </w:p>
    <w:p w:rsidR="004A53A7" w:rsidRDefault="004A53A7" w:rsidP="004A53A7">
      <w:pPr>
        <w:pStyle w:val="Ruller40"/>
        <w:rPr>
          <w:rFonts w:ascii="David" w:eastAsia="David" w:hAnsi="David" w:cs="David"/>
          <w:spacing w:val="0"/>
          <w:sz w:val="24"/>
          <w:szCs w:val="24"/>
          <w:rtl/>
        </w:rPr>
      </w:pPr>
    </w:p>
    <w:p w:rsidR="004A53A7" w:rsidRDefault="004A53A7" w:rsidP="00035160">
      <w:pPr>
        <w:pStyle w:val="Ruller40"/>
        <w:rPr>
          <w:rFonts w:ascii="David" w:eastAsia="David" w:hAnsi="David" w:cs="David"/>
          <w:spacing w:val="0"/>
          <w:sz w:val="24"/>
          <w:szCs w:val="24"/>
          <w:rtl/>
        </w:rPr>
      </w:pPr>
      <w:r>
        <w:rPr>
          <w:rFonts w:ascii="David" w:eastAsia="David" w:hAnsi="David" w:cs="David"/>
          <w:spacing w:val="0"/>
          <w:sz w:val="24"/>
          <w:szCs w:val="24"/>
          <w:rtl/>
        </w:rPr>
        <w:t>במקרה שלפניי נטען על ידי התובע בכתב התביעה, בין היתר, כי הנתבעת משכירה את הנכס לצד ג'</w:t>
      </w:r>
      <w:r w:rsidR="00336DDA">
        <w:rPr>
          <w:rFonts w:ascii="David" w:eastAsia="David" w:hAnsi="David" w:cs="David" w:hint="cs"/>
          <w:spacing w:val="0"/>
          <w:sz w:val="24"/>
          <w:szCs w:val="24"/>
          <w:rtl/>
        </w:rPr>
        <w:t>,</w:t>
      </w:r>
      <w:r>
        <w:rPr>
          <w:rFonts w:ascii="David" w:eastAsia="David" w:hAnsi="David" w:cs="David"/>
          <w:spacing w:val="0"/>
          <w:sz w:val="24"/>
          <w:szCs w:val="24"/>
          <w:rtl/>
        </w:rPr>
        <w:t xml:space="preserve"> אשר מפקידה מחצית מדמי השכירות לקופת ההוצאה לפועל בעוד שאת היתרה היא מעבירה במזומן לידי הראשונה. כפועל יוצא, התובע, שהינו הבעל הנכס (בתמיכה לטענה זו לא צורפה אסמכתה מתאימה), אינו מקבל את דמי השכירות אליהם הוא זכאי. </w:t>
      </w:r>
    </w:p>
    <w:p w:rsidR="004A53A7" w:rsidRDefault="004A53A7" w:rsidP="004A53A7">
      <w:pPr>
        <w:pStyle w:val="Ruller40"/>
        <w:rPr>
          <w:rFonts w:ascii="David" w:eastAsia="David" w:hAnsi="David" w:cs="David"/>
          <w:spacing w:val="0"/>
          <w:sz w:val="24"/>
          <w:szCs w:val="24"/>
          <w:rtl/>
        </w:rPr>
      </w:pPr>
    </w:p>
    <w:p w:rsidR="004A53A7" w:rsidRDefault="004A53A7" w:rsidP="004A53A7">
      <w:pPr>
        <w:pStyle w:val="Ruller40"/>
        <w:rPr>
          <w:rFonts w:ascii="David" w:eastAsia="David" w:hAnsi="David" w:cs="David"/>
          <w:spacing w:val="0"/>
          <w:sz w:val="24"/>
          <w:szCs w:val="24"/>
          <w:rtl/>
        </w:rPr>
      </w:pPr>
      <w:r>
        <w:rPr>
          <w:rFonts w:ascii="David" w:eastAsia="David" w:hAnsi="David" w:cs="David"/>
          <w:spacing w:val="0"/>
          <w:sz w:val="24"/>
          <w:szCs w:val="24"/>
          <w:rtl/>
        </w:rPr>
        <w:t xml:space="preserve">עוד נטען כי "התובע רוצה לציין בפני כב' בית המשפט שבעולם העסקים שוכר חדש שנכנס לא חותם על אותו חוזה כמו הקודם ..." </w:t>
      </w:r>
      <w:r>
        <w:rPr>
          <w:rFonts w:ascii="David" w:eastAsia="David" w:hAnsi="David" w:cs="David"/>
          <w:b/>
          <w:bCs/>
          <w:spacing w:val="0"/>
          <w:sz w:val="24"/>
          <w:szCs w:val="24"/>
          <w:rtl/>
        </w:rPr>
        <w:t>ראו: ס' 5 לכתב התביעה</w:t>
      </w:r>
      <w:r>
        <w:rPr>
          <w:rFonts w:ascii="David" w:eastAsia="David" w:hAnsi="David" w:cs="David"/>
          <w:spacing w:val="0"/>
          <w:sz w:val="24"/>
          <w:szCs w:val="24"/>
          <w:rtl/>
        </w:rPr>
        <w:t>.</w:t>
      </w:r>
    </w:p>
    <w:p w:rsidR="004A53A7" w:rsidRDefault="004A53A7" w:rsidP="004A53A7">
      <w:pPr>
        <w:pStyle w:val="Ruller40"/>
        <w:rPr>
          <w:rFonts w:ascii="David" w:eastAsia="David" w:hAnsi="David" w:cs="David"/>
          <w:spacing w:val="0"/>
          <w:sz w:val="24"/>
          <w:szCs w:val="24"/>
          <w:rtl/>
        </w:rPr>
      </w:pPr>
    </w:p>
    <w:p w:rsidR="004A53A7" w:rsidRDefault="004A53A7" w:rsidP="004A53A7">
      <w:pPr>
        <w:pStyle w:val="Ruller40"/>
        <w:rPr>
          <w:rFonts w:ascii="David" w:eastAsia="David" w:hAnsi="David" w:cs="David"/>
          <w:spacing w:val="0"/>
          <w:sz w:val="24"/>
          <w:szCs w:val="24"/>
          <w:rtl/>
        </w:rPr>
      </w:pPr>
      <w:r>
        <w:rPr>
          <w:rFonts w:ascii="David" w:eastAsia="David" w:hAnsi="David" w:cs="David"/>
          <w:spacing w:val="0"/>
          <w:sz w:val="24"/>
          <w:szCs w:val="24"/>
          <w:rtl/>
        </w:rPr>
        <w:lastRenderedPageBreak/>
        <w:t>במילים אחרות, עסקינן בסכסוך עסקי גרידא, ומלבד העובדה כי הנתבעת הינה גרושתו של התובע, אין כל "סממן משפחתי" אשר יכול להעניק סמכות לבית המשפט לענייני משפחה.</w:t>
      </w:r>
    </w:p>
    <w:p w:rsidR="004A53A7" w:rsidRDefault="004A53A7" w:rsidP="004A53A7">
      <w:pPr>
        <w:pStyle w:val="Ruller40"/>
        <w:rPr>
          <w:rFonts w:ascii="David" w:eastAsia="David" w:hAnsi="David" w:cs="David"/>
          <w:spacing w:val="0"/>
          <w:sz w:val="24"/>
          <w:szCs w:val="24"/>
          <w:rtl/>
        </w:rPr>
      </w:pPr>
    </w:p>
    <w:p w:rsidR="00336DDA" w:rsidRDefault="00336DDA" w:rsidP="004A53A7">
      <w:pPr>
        <w:pStyle w:val="Ruller40"/>
        <w:rPr>
          <w:rFonts w:ascii="David" w:eastAsia="David" w:hAnsi="David" w:cs="David"/>
          <w:spacing w:val="0"/>
          <w:sz w:val="24"/>
          <w:szCs w:val="24"/>
          <w:rtl/>
        </w:rPr>
      </w:pPr>
    </w:p>
    <w:p w:rsidR="00336DDA" w:rsidRDefault="00336DDA" w:rsidP="004A53A7">
      <w:pPr>
        <w:pStyle w:val="Ruller40"/>
        <w:rPr>
          <w:rFonts w:ascii="David" w:eastAsia="David" w:hAnsi="David" w:cs="David"/>
          <w:spacing w:val="0"/>
          <w:sz w:val="24"/>
          <w:szCs w:val="24"/>
          <w:rtl/>
        </w:rPr>
      </w:pPr>
    </w:p>
    <w:p w:rsidR="004A53A7" w:rsidRDefault="004A53A7" w:rsidP="004A53A7">
      <w:pPr>
        <w:pStyle w:val="Ruller40"/>
        <w:rPr>
          <w:rFonts w:ascii="David" w:eastAsia="David" w:hAnsi="David" w:cs="David"/>
          <w:spacing w:val="0"/>
          <w:sz w:val="24"/>
          <w:szCs w:val="24"/>
          <w:rtl/>
        </w:rPr>
      </w:pPr>
      <w:r>
        <w:rPr>
          <w:rFonts w:ascii="David" w:eastAsia="David" w:hAnsi="David" w:cs="David"/>
          <w:spacing w:val="0"/>
          <w:sz w:val="24"/>
          <w:szCs w:val="24"/>
          <w:rtl/>
        </w:rPr>
        <w:t>ער אני לטענת התובע כי על פי החלטות שניתנו בבית המשפט לענייני משפחה בקריות, לבית המשפט לענייני משפחה בירושלים מסורה הסמכות לדון בהליך בין התובע לנתבעת, ואולם התובע לא צירף את התביעה שהוגשה על ידו לבית המשפט לענייני משפחה בקריות כך שלא ברור באיזו מסגרת ניתנו החלטות אלה.</w:t>
      </w:r>
    </w:p>
    <w:p w:rsidR="00336DDA" w:rsidRDefault="00336DDA" w:rsidP="004A53A7">
      <w:pPr>
        <w:pStyle w:val="Ruller40"/>
        <w:rPr>
          <w:rFonts w:ascii="David" w:eastAsia="David" w:hAnsi="David" w:cs="David"/>
          <w:spacing w:val="0"/>
          <w:sz w:val="24"/>
          <w:szCs w:val="24"/>
          <w:rtl/>
        </w:rPr>
      </w:pPr>
    </w:p>
    <w:p w:rsidR="004A53A7" w:rsidRDefault="004A53A7" w:rsidP="004A53A7">
      <w:pPr>
        <w:pStyle w:val="Ruller40"/>
        <w:rPr>
          <w:rFonts w:ascii="David" w:eastAsia="David" w:hAnsi="David" w:cs="David"/>
          <w:spacing w:val="0"/>
          <w:sz w:val="24"/>
          <w:szCs w:val="24"/>
          <w:rtl/>
        </w:rPr>
      </w:pPr>
      <w:r>
        <w:rPr>
          <w:rFonts w:ascii="David" w:eastAsia="David" w:hAnsi="David" w:cs="David"/>
          <w:spacing w:val="0"/>
          <w:sz w:val="24"/>
          <w:szCs w:val="24"/>
          <w:rtl/>
        </w:rPr>
        <w:t>לאור האמור, אני קובע כי לבית משפט זה אין סמכות לדון בתביעה זו ומורה על מחיקתה.</w:t>
      </w:r>
    </w:p>
    <w:p w:rsidR="004A53A7" w:rsidRDefault="004A53A7" w:rsidP="004A53A7">
      <w:pPr>
        <w:pStyle w:val="Ruller40"/>
        <w:rPr>
          <w:rFonts w:ascii="David" w:eastAsia="David" w:hAnsi="David" w:cs="David"/>
          <w:spacing w:val="0"/>
          <w:sz w:val="24"/>
          <w:szCs w:val="24"/>
          <w:rtl/>
        </w:rPr>
      </w:pPr>
    </w:p>
    <w:p w:rsidR="004A53A7" w:rsidRDefault="004A53A7" w:rsidP="004A53A7">
      <w:pPr>
        <w:pStyle w:val="Ruller40"/>
        <w:rPr>
          <w:rFonts w:ascii="David" w:eastAsia="David" w:hAnsi="David" w:cs="David"/>
          <w:spacing w:val="0"/>
          <w:sz w:val="24"/>
          <w:szCs w:val="24"/>
          <w:rtl/>
        </w:rPr>
      </w:pPr>
      <w:r>
        <w:rPr>
          <w:rFonts w:ascii="David" w:eastAsia="David" w:hAnsi="David" w:cs="David"/>
          <w:spacing w:val="0"/>
          <w:sz w:val="24"/>
          <w:szCs w:val="24"/>
          <w:rtl/>
        </w:rPr>
        <w:t>משלא הוגשו כתבי הגנה, איני עושה צו להוצאות.</w:t>
      </w:r>
    </w:p>
    <w:p w:rsidR="00336DDA" w:rsidRDefault="00336DDA" w:rsidP="004A53A7">
      <w:pPr>
        <w:pStyle w:val="Ruller40"/>
        <w:rPr>
          <w:rFonts w:ascii="David" w:eastAsia="David" w:hAnsi="David" w:cs="David"/>
          <w:spacing w:val="0"/>
          <w:sz w:val="24"/>
          <w:szCs w:val="24"/>
          <w:rtl/>
        </w:rPr>
      </w:pPr>
    </w:p>
    <w:p w:rsidR="00336DDA" w:rsidRDefault="00336DDA" w:rsidP="004A53A7">
      <w:pPr>
        <w:pStyle w:val="Ruller40"/>
        <w:rPr>
          <w:rFonts w:ascii="David" w:eastAsia="David" w:hAnsi="David" w:cs="David"/>
          <w:spacing w:val="0"/>
          <w:sz w:val="24"/>
          <w:szCs w:val="24"/>
          <w:rtl/>
        </w:rPr>
      </w:pPr>
      <w:r>
        <w:rPr>
          <w:rFonts w:ascii="David" w:eastAsia="David" w:hAnsi="David" w:cs="David" w:hint="cs"/>
          <w:spacing w:val="0"/>
          <w:sz w:val="24"/>
          <w:szCs w:val="24"/>
          <w:rtl/>
        </w:rPr>
        <w:t>ניתן לפרסם החלטה זו בכפוף להשמטת כל הפרטים המזהים.</w:t>
      </w:r>
    </w:p>
    <w:p w:rsidR="004A53A7" w:rsidRDefault="004A53A7" w:rsidP="004A53A7">
      <w:pPr>
        <w:pStyle w:val="Ruller40"/>
        <w:rPr>
          <w:rFonts w:ascii="David" w:eastAsia="David" w:hAnsi="David" w:cs="David"/>
          <w:spacing w:val="0"/>
          <w:sz w:val="24"/>
          <w:szCs w:val="24"/>
          <w:rtl/>
        </w:rPr>
      </w:pPr>
    </w:p>
    <w:p w:rsidR="002914D6" w:rsidRDefault="004A53A7" w:rsidP="00336DDA">
      <w:pPr>
        <w:pStyle w:val="ae"/>
        <w:spacing w:line="360" w:lineRule="auto"/>
        <w:ind w:left="-58"/>
        <w:jc w:val="both"/>
        <w:rPr>
          <w:rFonts w:ascii="Arial" w:hAnsi="Arial"/>
          <w:rtl/>
        </w:rPr>
      </w:pPr>
      <w:r>
        <w:rPr>
          <w:rFonts w:cs="David" w:hint="cs"/>
          <w:b/>
          <w:bCs/>
          <w:rtl/>
        </w:rPr>
        <w:t>המזכירות תסגור את התיק.</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כ"ד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25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538512678"/>
        </w:sdtPr>
        <w:sdtEndPr/>
        <w:sdtContent>
          <w:r w:rsidR="0078239F">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4A53A7">
      <w:headerReference w:type="default" r:id="rId16"/>
      <w:footerReference w:type="default" r:id="rId17"/>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A99" w:rsidRDefault="00C16A99">
      <w:r>
        <w:separator/>
      </w:r>
    </w:p>
  </w:endnote>
  <w:endnote w:type="continuationSeparator" w:id="0">
    <w:p w:rsidR="00C16A99" w:rsidRDefault="00C16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D2F49">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D2F49">
      <w:rPr>
        <w:rStyle w:val="ab"/>
        <w:rtl/>
      </w:rPr>
      <w:t>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A99" w:rsidRDefault="00C16A99">
      <w:r>
        <w:separator/>
      </w:r>
    </w:p>
  </w:footnote>
  <w:footnote w:type="continuationSeparator" w:id="0">
    <w:p w:rsidR="00C16A99" w:rsidRDefault="00C16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25 נובמבר 2024</w:t>
              </w:r>
            </w:p>
          </w:tc>
        </w:sdtContent>
      </w:sdt>
    </w:tr>
    <w:tr w:rsidR="002914D6" w:rsidRPr="00336DDA">
      <w:trPr>
        <w:trHeight w:val="337"/>
        <w:jc w:val="center"/>
      </w:trPr>
      <w:tc>
        <w:tcPr>
          <w:tcW w:w="8721" w:type="dxa"/>
          <w:gridSpan w:val="2"/>
        </w:tcPr>
        <w:p w:rsidR="002914D6" w:rsidRDefault="00C16A99" w:rsidP="00336DDA">
          <w:pPr>
            <w:rPr>
              <w:b/>
              <w:bCs/>
              <w:noProof w:val="0"/>
              <w:sz w:val="26"/>
              <w:szCs w:val="26"/>
              <w:rtl/>
            </w:rPr>
          </w:pPr>
          <w:sdt>
            <w:sdtPr>
              <w:rPr>
                <w:b/>
                <w:bCs/>
                <w:noProof w:val="0"/>
                <w:sz w:val="26"/>
                <w:szCs w:val="26"/>
                <w:rtl/>
              </w:rPr>
              <w:alias w:val="1170"/>
              <w:tag w:val="1170"/>
              <w:id w:val="632838173"/>
              <w:text w:multiLine="1"/>
            </w:sdtPr>
            <w:sdtEndPr/>
            <w:sdtContent>
              <w:r w:rsidR="00CC29C2" w:rsidRPr="00336DDA">
                <w:rPr>
                  <w:b/>
                  <w:bCs/>
                  <w:noProof w:val="0"/>
                  <w:sz w:val="26"/>
                  <w:szCs w:val="26"/>
                  <w:rtl/>
                </w:rPr>
                <w:t>תלה"מ</w:t>
              </w:r>
            </w:sdtContent>
          </w:sdt>
          <w:r w:rsidR="00011212">
            <w:rPr>
              <w:b/>
              <w:bCs/>
              <w:noProof w:val="0"/>
              <w:sz w:val="26"/>
              <w:szCs w:val="26"/>
              <w:rtl/>
            </w:rPr>
            <w:t xml:space="preserve"> </w:t>
          </w:r>
          <w:sdt>
            <w:sdtPr>
              <w:rPr>
                <w:b/>
                <w:bCs/>
                <w:noProof w:val="0"/>
                <w:sz w:val="26"/>
                <w:szCs w:val="26"/>
                <w:rtl/>
              </w:rPr>
              <w:alias w:val="1171"/>
              <w:tag w:val="1171"/>
              <w:id w:val="-1684506308"/>
              <w:text w:multiLine="1"/>
            </w:sdtPr>
            <w:sdtEndPr/>
            <w:sdtContent>
              <w:r w:rsidR="00CC29C2" w:rsidRPr="00336DDA">
                <w:rPr>
                  <w:b/>
                  <w:bCs/>
                  <w:noProof w:val="0"/>
                  <w:sz w:val="26"/>
                  <w:szCs w:val="26"/>
                  <w:rtl/>
                </w:rPr>
                <w:t>47330-11-24</w:t>
              </w:r>
            </w:sdtContent>
          </w:sdt>
          <w:r w:rsidR="00011212">
            <w:rPr>
              <w:b/>
              <w:bCs/>
              <w:noProof w:val="0"/>
              <w:sz w:val="26"/>
              <w:szCs w:val="26"/>
              <w:rtl/>
            </w:rPr>
            <w:t xml:space="preserve"> </w:t>
          </w:r>
          <w:sdt>
            <w:sdtPr>
              <w:rPr>
                <w:b/>
                <w:bCs/>
                <w:noProof w:val="0"/>
                <w:sz w:val="26"/>
                <w:szCs w:val="26"/>
                <w:rtl/>
              </w:rPr>
              <w:alias w:val="1172"/>
              <w:tag w:val="1172"/>
              <w:id w:val="1484202908"/>
              <w:text w:multiLine="1"/>
            </w:sdtPr>
            <w:sdtEndPr/>
            <w:sdtContent>
              <w:r w:rsidR="00336DDA" w:rsidRPr="00336DDA">
                <w:rPr>
                  <w:rFonts w:hint="cs"/>
                  <w:b/>
                  <w:bCs/>
                  <w:noProof w:val="0"/>
                  <w:sz w:val="26"/>
                  <w:szCs w:val="26"/>
                  <w:rtl/>
                </w:rPr>
                <w:t xml:space="preserve">ד.ע. </w:t>
              </w:r>
              <w:r w:rsidR="00CC29C2" w:rsidRPr="00336DDA">
                <w:rPr>
                  <w:b/>
                  <w:bCs/>
                  <w:noProof w:val="0"/>
                  <w:sz w:val="26"/>
                  <w:szCs w:val="26"/>
                  <w:rtl/>
                </w:rPr>
                <w:t xml:space="preserve">ע נ' </w:t>
              </w:r>
              <w:r w:rsidR="00336DDA" w:rsidRPr="00336DDA">
                <w:rPr>
                  <w:rFonts w:hint="cs"/>
                  <w:b/>
                  <w:bCs/>
                  <w:noProof w:val="0"/>
                  <w:sz w:val="26"/>
                  <w:szCs w:val="26"/>
                  <w:rtl/>
                </w:rPr>
                <w:t xml:space="preserve">א. </w:t>
              </w:r>
              <w:r w:rsidR="00CC29C2" w:rsidRPr="00336DDA">
                <w:rPr>
                  <w:b/>
                  <w:bCs/>
                  <w:noProof w:val="0"/>
                  <w:sz w:val="26"/>
                  <w:szCs w:val="26"/>
                  <w:rtl/>
                </w:rPr>
                <w:t>ע</w:t>
              </w:r>
            </w:sdtContent>
          </w:sdt>
        </w:p>
        <w:p w:rsidR="002914D6" w:rsidRPr="00336DDA" w:rsidRDefault="002914D6">
          <w:pPr>
            <w:rPr>
              <w:b/>
              <w:bCs/>
              <w:noProof w:val="0"/>
              <w:sz w:val="26"/>
              <w:szCs w:val="26"/>
              <w:rtl/>
            </w:rPr>
          </w:pPr>
        </w:p>
        <w:p w:rsidR="001E17B0" w:rsidRPr="00336DDA" w:rsidRDefault="001E17B0">
          <w:pPr>
            <w:rPr>
              <w:b/>
              <w:bCs/>
              <w:noProof w:val="0"/>
              <w:sz w:val="26"/>
              <w:szCs w:val="26"/>
              <w:rtl/>
            </w:rPr>
          </w:pPr>
        </w:p>
      </w:tc>
    </w:tr>
  </w:tbl>
  <w:p w:rsidR="002914D6" w:rsidRDefault="0001121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13906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139062&amp;lt;/CaseID&amp;gt;_x000d__x000a_        &amp;lt;CaseMonth&amp;gt;11&amp;lt;/CaseMonth&amp;gt;_x000d__x000a_        &amp;lt;CaseYear&amp;gt;2024&amp;lt;/CaseYear&amp;gt;_x000d__x000a_        &amp;lt;CaseNumber&amp;gt;47330&amp;lt;/CaseNumber&amp;gt;_x000d__x000a_        &amp;lt;NumeratorGroupID&amp;gt;1&amp;lt;/NumeratorGroupID&amp;gt;_x000d__x000a_        &amp;lt;CaseName&amp;gt;עזרן נ&amp;#39; עזרן&amp;lt;/CaseName&amp;gt;_x000d__x000a_        &amp;lt;CourtID&amp;gt;30&amp;lt;/CourtID&amp;gt;_x000d__x000a_        &amp;lt;CaseTypeID&amp;gt;10262&amp;lt;/CaseTypeID&amp;gt;_x000d__x000a_        &amp;lt;CaseInterestID&amp;gt;167&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330-11-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1&amp;lt;/CaseNextDeterminingTask&amp;gt;_x000d__x000a_        &amp;lt;TemporaryAidStatus /&amp;gt;_x000d__x000a_        &amp;lt;CaseOpenDate&amp;gt;2024-11-19T13:24: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139062&amp;lt;/CaseID&amp;gt;_x000d__x000a_        &amp;lt;CaseMonth&amp;gt;11&amp;lt;/CaseMonth&amp;gt;_x000d__x000a_        &amp;lt;CaseYear&amp;gt;2024&amp;lt;/CaseYear&amp;gt;_x000d__x000a_        &amp;lt;CaseNumber&amp;gt;47330&amp;lt;/CaseNumber&amp;gt;_x000d__x000a_        &amp;lt;NumeratorGroupID&amp;gt;1&amp;lt;/NumeratorGroupID&amp;gt;_x000d__x000a_        &amp;lt;CaseName&amp;gt;עזרן נ&amp;#39; עזרן&amp;lt;/CaseName&amp;gt;_x000d__x000a_        &amp;lt;CourtID&amp;gt;30&amp;lt;/CourtID&amp;gt;_x000d__x000a_        &amp;lt;CaseTypeID&amp;gt;10262&amp;lt;/CaseTypeID&amp;gt;_x000d__x000a_        &amp;lt;CaseInterestID&amp;gt;167&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330-11-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11-19T13:24: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25T12:04:49.1998195+02:00&amp;lt;/DecisionStatusChangeDate&amp;gt;_x000d__x000a_        &amp;lt;DecisionSignatureDate&amp;gt;2024-11-25T12:04:49.1998195+02:00&amp;lt;/DecisionSignatureDate&amp;gt;_x000d__x000a_        &amp;lt;DecisionSignatureUserID&amp;gt;306840554@GOV.IL&amp;lt;/DecisionSignatureUserID&amp;gt;_x000d__x000a_        &amp;lt;DecisionCreateDate&amp;gt;2024-11-25T12:04:49.1998195+02:00&amp;lt;/DecisionCreateDate&amp;gt;_x000d__x000a_        &amp;lt;DecisionChangeDate&amp;gt;2024-11-25T12:04:49.1998195+02: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213906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7"/>
    <w:docVar w:name="NGCS.TemplateCaseTypeID" w:val="10262"/>
    <w:docVar w:name="NGCS.TemplateCategoryID" w:val="80"/>
    <w:docVar w:name="NGCS.TemplateCourtID" w:val="30"/>
    <w:docVar w:name="NGCS.TemplateProceedingID" w:val="3"/>
    <w:docVar w:name="SelectedDocumentID" w:val="461567534"/>
    <w:docVar w:name="WordClientAssemblyName" w:val="NGCS.Decision.ClientWordBL"/>
    <w:docVar w:name="WordClientClassName" w:val="NGCS.Decision.ClientWordBL.DecisionClient"/>
  </w:docVars>
  <w:rsids>
    <w:rsidRoot w:val="002914D6"/>
    <w:rsid w:val="00011212"/>
    <w:rsid w:val="00035160"/>
    <w:rsid w:val="0014058F"/>
    <w:rsid w:val="0019474B"/>
    <w:rsid w:val="001E17B0"/>
    <w:rsid w:val="00273D47"/>
    <w:rsid w:val="002856D3"/>
    <w:rsid w:val="002914D6"/>
    <w:rsid w:val="002F5307"/>
    <w:rsid w:val="00336DDA"/>
    <w:rsid w:val="003A0652"/>
    <w:rsid w:val="004A53A7"/>
    <w:rsid w:val="004F4787"/>
    <w:rsid w:val="00530E94"/>
    <w:rsid w:val="005D2F49"/>
    <w:rsid w:val="005E66BB"/>
    <w:rsid w:val="006F7E22"/>
    <w:rsid w:val="007337DC"/>
    <w:rsid w:val="0078239F"/>
    <w:rsid w:val="00822AA5"/>
    <w:rsid w:val="00876B77"/>
    <w:rsid w:val="0088038E"/>
    <w:rsid w:val="00904FA7"/>
    <w:rsid w:val="00921E03"/>
    <w:rsid w:val="009A04C9"/>
    <w:rsid w:val="009D1711"/>
    <w:rsid w:val="00A7661B"/>
    <w:rsid w:val="00B234CE"/>
    <w:rsid w:val="00B31305"/>
    <w:rsid w:val="00C16A99"/>
    <w:rsid w:val="00CC29C2"/>
    <w:rsid w:val="00CE7F78"/>
    <w:rsid w:val="00DA714E"/>
    <w:rsid w:val="00E72C9F"/>
    <w:rsid w:val="00EC118E"/>
    <w:rsid w:val="00ED349A"/>
    <w:rsid w:val="00F50E07"/>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4A53A7"/>
    <w:pPr>
      <w:spacing w:line="254" w:lineRule="auto"/>
      <w:ind w:left="720"/>
      <w:contextualSpacing/>
    </w:pPr>
    <w:rPr>
      <w:rFonts w:ascii="David" w:hAnsi="David" w:cs="Arial"/>
      <w:noProof w:val="0"/>
    </w:rPr>
  </w:style>
  <w:style w:type="character" w:customStyle="1" w:styleId="Ruller4">
    <w:name w:val="Ruller4 תו"/>
    <w:link w:val="Ruller40"/>
    <w:locked/>
    <w:rsid w:val="004A53A7"/>
    <w:rPr>
      <w:rFonts w:ascii="Arial TUR" w:hAnsi="Arial TUR" w:cs="FrankRuehl"/>
      <w:spacing w:val="10"/>
      <w:szCs w:val="28"/>
    </w:rPr>
  </w:style>
  <w:style w:type="paragraph" w:customStyle="1" w:styleId="Ruller40">
    <w:name w:val="Ruller4"/>
    <w:basedOn w:val="a"/>
    <w:link w:val="Ruller4"/>
    <w:rsid w:val="004A53A7"/>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styleId="Hyperlink">
    <w:name w:val="Hyperlink"/>
    <w:basedOn w:val="a0"/>
    <w:uiPriority w:val="99"/>
    <w:semiHidden/>
    <w:unhideWhenUsed/>
    <w:rsid w:val="004A53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529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5861226"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yperlink" Target="http://www.nevo.co.il/case/28280812"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27922119" TargetMode="External"/><Relationship Id="rId5" Type="http://schemas.openxmlformats.org/officeDocument/2006/relationships/settings" Target="settings.xml"/><Relationship Id="rId15" Type="http://schemas.openxmlformats.org/officeDocument/2006/relationships/image" Target="media/image1.jpg"/><Relationship Id="rId10" Type="http://schemas.openxmlformats.org/officeDocument/2006/relationships/hyperlink" Target="http://www.nevo.co.il/case/607233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law/98460/1" TargetMode="External"/><Relationship Id="rId14" Type="http://schemas.openxmlformats.org/officeDocument/2006/relationships/hyperlink" Target="http://www.nevo.co.il/case/2828081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82139062</CaseID>
    <CaseJudicialPersonPresentationDS>
      <CaseJudicalPersonActive>
        <CaseID>82139062</CaseID>
        <JudicialPersonID>306840554@GOV.IL</JudicialPersonID>
        <JudicialPersonTypeID>1</JudicialPersonTypeID>
        <JudicialTypeID>1</JudicialTypeID>
        <IsChairman>false</IsChairman>
        <TreatmentStartDate>2024-11-19T13:28:15.117+02:00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דוד עזרן</FullName>
        <FirstName>דוד</FirstName>
        <LastName>עזרן</LastName>
        <PartyPropertyName/>
        <AuthenticationTypeAndNumber>ת"ז 069964419</AuthenticationTypeAndNumber>
        <RepresentatedOrRepresentativesNames/>
        <RepresentatedOrRepresentativesCount>0</RepresentatedOrRepresentativesCount>
        <InvitedBy/>
        <CaseID>82139062</CaseID>
        <CaseJudicialPersonPresentationDS>
          <CaseJudicalPersonActive>
            <CaseID>82139062</CaseID>
            <JudicialPersonID>306840554@GOV.IL</JudicialPersonID>
            <JudicialPersonTypeID>1</JudicialPersonTypeID>
            <JudicialTypeID>1</JudicialTypeID>
            <IsChairman>false</IsChairman>
            <TreatmentStartDate>2024-11-19T13:28:15.117+02:00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280175926</CasePartyID>
        <PartyTypeID>1</PartyTypeID>
        <ActivityStatusID>1</ActivityStatusID>
        <PartyAliasID>1</PartyAliasID>
        <PartyAliasName>תובע</PartyAliasName>
        <OrdinalNumber>1</OrdinalNumber>
        <LegalEntityID>46325417</LegalEntityID>
        <CaseLegalEntityID>133117663</CaseLegalEntityID>
        <AuthenticationTypeID>1</AuthenticationTypeID>
        <AuthenticationTypeName>ת"ז</AuthenticationTypeName>
        <LegalEntityNumber>069964419</LegalEntityNumber>
        <IsMainPartyType>true</IsMainPartyType>
        <CaseDisplayIdentifier>47330-11-24</CaseDisplayIdentifier>
        <CaseTypeID>10262</CaseTypeID>
        <CaseTypeName>תביעה לאחר הסדר התדיינויות במשפחה (תלה"מ)</CaseTypeName>
        <CaseName>עזרן נ' עזרן</CaseName>
        <FullAddress>פולנסקי 3 ירושלים </FullAddress>
        <MotionID>0</MotionID>
        <CasePleaID>0</CasePleaID>
        <FatherName>מכלוף</FatherName>
        <LinkedCaseID>0</LinkedCaseID>
        <PartyID>1</PartyID>
        <CasePartyCategoryID>2</CasePartyCategoryID>
        <LegalEntityAddressID>91204269</LegalEntityAddressID>
        <PleaTypeID>4</PleaTypeID>
        <GroupPartyAlias>תובעים</GroupPartyAlias>
        <IsConverted>false</IsConverted>
        <LegalEntityRegisteredNameID>2575903</LegalEntityRegisteredNameID>
        <LegalEntityNameID>98522592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עזרן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אפרת עזרן</FullName>
        <FirstName>אפרת</FirstName>
        <LastName>עזרן</LastName>
        <PartyPropertyName/>
        <AuthenticationTypeAndNumber>ת"ז 024135758</AuthenticationTypeAndNumber>
        <RepresentatedOrRepresentativesNames/>
        <RepresentatedOrRepresentativesCount>0</RepresentatedOrRepresentativesCount>
        <InvitedBy/>
        <CaseID>82139062</CaseID>
        <CaseJudicialPersonPresentationDS>
          <CaseJudicalPersonActive>
            <CaseID>82139062</CaseID>
            <JudicialPersonID>306840554@GOV.IL</JudicialPersonID>
            <JudicialPersonTypeID>1</JudicialPersonTypeID>
            <JudicialTypeID>1</JudicialTypeID>
            <IsChairman>false</IsChairman>
            <TreatmentStartDate>2024-11-19T13:28:15.117+02:00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280175927</CasePartyID>
        <PartyTypeID>1</PartyTypeID>
        <ActivityStatusID>1</ActivityStatusID>
        <PartyAliasID>2</PartyAliasID>
        <PartyAliasName>נתבע</PartyAliasName>
        <OrdinalNumber>1</OrdinalNumber>
        <LegalEntityID>46233052</LegalEntityID>
        <CaseLegalEntityID>133117664</CaseLegalEntityID>
        <AuthenticationTypeID>1</AuthenticationTypeID>
        <AuthenticationTypeName>ת"ז</AuthenticationTypeName>
        <LegalEntityNumber>024135758</LegalEntityNumber>
        <IsMainPartyType>true</IsMainPartyType>
        <CaseDisplayIdentifier>47330-11-24</CaseDisplayIdentifier>
        <CaseTypeID>10262</CaseTypeID>
        <CaseTypeName>תביעה לאחר הסדר התדיינויות במשפחה (תלה"מ)</CaseTypeName>
        <CaseName>עזרן נ' עזרן</CaseName>
        <FullAddress>הקבלן 67 דירה 1 ירושלים הר נוף</FullAddress>
        <MotionID>0</MotionID>
        <CasePleaID>0</CasePleaID>
        <FatherName>שלמה</FatherName>
        <LinkedCaseID>0</LinkedCaseID>
        <PartyID>2</PartyID>
        <CasePartyCategoryID>2</CasePartyCategoryID>
        <LegalEntityAddressID>91204270</LegalEntityAddressID>
        <PleaTypeID>4</PleaTypeID>
        <GroupPartyAlias>נתבעים</GroupPartyAlias>
        <IsConverted>false</IsConverted>
        <LegalEntityRegisteredNameID>2139969</LegalEntityRegisteredNameID>
        <LegalEntityNameID>98522593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עזרן</PublicationProhibitedFullName>
      </CaseParties>
    </CasePartiesSelectionDS>
    <DecisionName>החלטה  שניתנה ע"י  פליקס גורודצקי</DecisionName>
    <CourtDisplayName>בית משפט לענייני משפחה בירושלים</CourtDisplayName>
    <IsCaseJudgePanel>false</IsCaseJudgePanel>
    <DecisionSignatureDate>2024-11-25T12:04:49.1998195+02:00</DecisionSignatureDate>
    <OpenCaseDate>2024-11-19T13:24:00+02:00</OpenCaseDate>
    <CaseFeeSum>0.000</CaseFeeSum>
    <DecisionTypeID>1</DecisionTypeID>
    <DecisionSignatureUserName>פליקס גורודצקי</DecisionSignatureUserName>
    <DecisionSignatureDateHebrew>2024-11-25T12:04:49.1998195+02:00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עזרן נ' עזרן</CaseName>
    <DecisionNumberInCase>2</DecisionNumberInCase>
  </dt_Decision>
  <dt_DecisionCase>
    <DecisionID>0</DecisionID>
    <CaseID>82139062</CaseID>
    <CaseJudicialPersonPresentationDS>
      <CaseJudicalPersonActive>
        <CaseID>82139062</CaseID>
        <JudicialPersonID>306840554@GOV.IL</JudicialPersonID>
        <JudicialPersonTypeID>1</JudicialPersonTypeID>
        <JudicialTypeID>1</JudicialTypeID>
        <IsChairman>false</IsChairman>
        <TreatmentStartDate>2024-11-19T13:28:15.117+02:00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דוד עזרן</FullName>
        <FirstName>דוד</FirstName>
        <LastName>עזרן</LastName>
        <PartyPropertyName/>
        <AuthenticationTypeAndNumber>ת"ז 069964419</AuthenticationTypeAndNumber>
        <RepresentatedOrRepresentativesNames/>
        <RepresentatedOrRepresentativesCount>0</RepresentatedOrRepresentativesCount>
        <InvitedBy/>
        <CaseID>82139062</CaseID>
        <CaseJudicialPersonPresentationDS>
          <CaseJudicalPersonActive>
            <CaseID>82139062</CaseID>
            <JudicialPersonID>306840554@GOV.IL</JudicialPersonID>
            <JudicialPersonTypeID>1</JudicialPersonTypeID>
            <JudicialTypeID>1</JudicialTypeID>
            <IsChairman>false</IsChairman>
            <TreatmentStartDate>2024-11-19T13:28:15.117+02:00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280175926</CasePartyID>
        <PartyTypeID>1</PartyTypeID>
        <ActivityStatusID>1</ActivityStatusID>
        <PartyAliasID>1</PartyAliasID>
        <PartyAliasName>תובע</PartyAliasName>
        <OrdinalNumber>1</OrdinalNumber>
        <LegalEntityID>46325417</LegalEntityID>
        <CaseLegalEntityID>133117663</CaseLegalEntityID>
        <AuthenticationTypeID>1</AuthenticationTypeID>
        <AuthenticationTypeName>ת"ז</AuthenticationTypeName>
        <LegalEntityNumber>069964419</LegalEntityNumber>
        <IsMainPartyType>true</IsMainPartyType>
        <CaseDisplayIdentifier>47330-11-24</CaseDisplayIdentifier>
        <CaseTypeID>10262</CaseTypeID>
        <CaseTypeName>תביעה לאחר הסדר התדיינויות במשפחה (תלה"מ)</CaseTypeName>
        <CaseName>עזרן נ' עזרן</CaseName>
        <FullAddress>פולנסקי 3 ירושלים </FullAddress>
        <MotionID>0</MotionID>
        <CasePleaID>0</CasePleaID>
        <FatherName>מכלוף</FatherName>
        <LinkedCaseID>0</LinkedCaseID>
        <PartyID>1</PartyID>
        <CasePartyCategoryID>2</CasePartyCategoryID>
        <LegalEntityAddressID>91204269</LegalEntityAddressID>
        <PleaTypeID>4</PleaTypeID>
        <GroupPartyAlias>תובעים</GroupPartyAlias>
        <IsConverted>false</IsConverted>
        <LegalEntityRegisteredNameID>2575903</LegalEntityRegisteredNameID>
        <LegalEntityNameID>98522592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דוד עזרן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אפרת עזרן</FullName>
        <FirstName>אפרת</FirstName>
        <LastName>עזרן</LastName>
        <PartyPropertyName/>
        <AuthenticationTypeAndNumber>ת"ז 024135758</AuthenticationTypeAndNumber>
        <RepresentatedOrRepresentativesNames/>
        <RepresentatedOrRepresentativesCount>0</RepresentatedOrRepresentativesCount>
        <InvitedBy/>
        <CaseID>82139062</CaseID>
        <CaseJudicialPersonPresentationDS>
          <CaseJudicalPersonActive>
            <CaseID>82139062</CaseID>
            <JudicialPersonID>306840554@GOV.IL</JudicialPersonID>
            <JudicialPersonTypeID>1</JudicialPersonTypeID>
            <JudicialTypeID>1</JudicialTypeID>
            <IsChairman>false</IsChairman>
            <TreatmentStartDate>2024-11-19T13:28:15.117+02:00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280175927</CasePartyID>
        <PartyTypeID>1</PartyTypeID>
        <ActivityStatusID>1</ActivityStatusID>
        <PartyAliasID>2</PartyAliasID>
        <PartyAliasName>נתבע</PartyAliasName>
        <OrdinalNumber>1</OrdinalNumber>
        <LegalEntityID>46233052</LegalEntityID>
        <CaseLegalEntityID>133117664</CaseLegalEntityID>
        <AuthenticationTypeID>1</AuthenticationTypeID>
        <AuthenticationTypeName>ת"ז</AuthenticationTypeName>
        <LegalEntityNumber>024135758</LegalEntityNumber>
        <IsMainPartyType>true</IsMainPartyType>
        <CaseDisplayIdentifier>47330-11-24</CaseDisplayIdentifier>
        <CaseTypeID>10262</CaseTypeID>
        <CaseTypeName>תביעה לאחר הסדר התדיינויות במשפחה (תלה"מ)</CaseTypeName>
        <CaseName>עזרן נ' עזרן</CaseName>
        <FullAddress>הקבלן 67 דירה 1 ירושלים הר נוף</FullAddress>
        <MotionID>0</MotionID>
        <CasePleaID>0</CasePleaID>
        <FatherName>שלמה</FatherName>
        <LinkedCaseID>0</LinkedCaseID>
        <PartyID>2</PartyID>
        <CasePartyCategoryID>2</CasePartyCategoryID>
        <LegalEntityAddressID>91204270</LegalEntityAddressID>
        <PleaTypeID>4</PleaTypeID>
        <GroupPartyAlias>נתבעים</GroupPartyAlias>
        <IsConverted>false</IsConverted>
        <LegalEntityRegisteredNameID>2139969</LegalEntityRegisteredNameID>
        <LegalEntityNameID>98522593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אפרת עזרן</PublicationProhibitedFullName>
      </CaseParties>
    </CasePartiesSelectionDS>
    <CaseName>עזרן נ' עזרן</CaseName>
    <CaseDisplayIdentifier>47330-11-24</CaseDisplayIdentifier>
    <CaseInterestID>167</CaseInterestID>
    <CaseTypeShortName>תלה"מ</CaseTypeShortName>
  </dt_DecisionCase>
  <dt_DecisionJudgePanel>
    <JudgeID>306840554@GOV.IL</JudgeID>
    <DisplayName>פליקס גורודצקי</DisplayName>
    <RoleName>שופט</RoleName>
    <UserTitleName>שופט</UserTitleName>
  </dt_DecisionJudgePanel>
  <dt_LegalEntityDetails>
    <Fax>02-5701543</Fax>
    <PartyID>1</PartyID>
    <PartyTypeID>1</PartyTypeID>
    <DecisionID>0</DecisionID>
    <StreetName>פולנסקי 3</StreetName>
    <CityName>ירושלים</CityName>
    <FullName>דוד עזרן</FullName>
    <IsPublicationProhibited>false</IsPublicationProhibited>
  </dt_LegalEntityDetails>
  <dt_LegalEntityDetails>
    <AddressDesc>הר נוף</AddressDesc>
    <PartyID>2</PartyID>
    <PartyTypeID>1</PartyTypeID>
    <DecisionID>0</DecisionID>
    <StreetName>הקבלן 67 דירה 1</StreetName>
    <CityName>ירושלים</CityName>
    <FullName>אפרת עזרן</FullName>
    <IsPublicationProhibited>false</IsPublicationProhibited>
  </dt_LegalEntityDetails>
  <dt_CaseJudicalPersonActive>
    <CaseJudicalPerson>שופט פליקס גורודצקי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6B715-5529-4DAC-92F3-DC2F8C8C5BFF}">
  <ds:schemaRefs/>
</ds:datastoreItem>
</file>

<file path=customXml/itemProps2.xml><?xml version="1.0" encoding="utf-8"?>
<ds:datastoreItem xmlns:ds="http://schemas.openxmlformats.org/officeDocument/2006/customXml" ds:itemID="{2753738B-F6B8-43BA-B721-D2346D02D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626</Words>
  <Characters>3130</Characters>
  <Application>Microsoft Office Word</Application>
  <DocSecurity>0</DocSecurity>
  <Lines>26</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2024-12-08T08:57:00Z</dcterms:created>
  <dcterms:modified xsi:type="dcterms:W3CDTF">2024-12-08T08:57:00Z</dcterms:modified>
</cp:coreProperties>
</file>